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AA" w:rsidRPr="00DE2106" w:rsidRDefault="00A96EAA" w:rsidP="00A96EAA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bookmarkEnd w:id="0"/>
    <w:p w:rsidR="00A96EAA" w:rsidRPr="00DE2106" w:rsidRDefault="00A96EAA" w:rsidP="00A96EAA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2018年1月31日</w:t>
      </w:r>
    </w:p>
    <w:p w:rsidR="00A96EAA" w:rsidRPr="00DE2106" w:rsidRDefault="00A96EAA" w:rsidP="00A96EAA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式成立，首次开放日为【2016】年【12】月【26】日。截至2018年1月31日，目前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总资产0.73亿元，资产净值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0.73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A96EAA" w:rsidRPr="00DE2106" w:rsidRDefault="00A96EAA" w:rsidP="00A96EAA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A96EAA" w:rsidRPr="00DE2106" w:rsidRDefault="00A96EAA" w:rsidP="00A96EA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截至2018年1月31日，产品单位净值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>
        <w:rPr>
          <w:rFonts w:ascii="彩虹粗仿宋" w:eastAsia="彩虹粗仿宋" w:hAnsi="宋体"/>
          <w:color w:val="000000"/>
          <w:sz w:val="28"/>
          <w:szCs w:val="28"/>
        </w:rPr>
        <w:t>1.0006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A96EAA" w:rsidRPr="00DE2106" w:rsidRDefault="00A96EAA" w:rsidP="00A96EA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A96EAA" w:rsidRPr="00DE2106" w:rsidRDefault="00A96EAA" w:rsidP="00A96EA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6EAA" w:rsidRPr="00DE2106" w:rsidRDefault="00A96EAA" w:rsidP="00A96EA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A96EAA" w:rsidRPr="0000530E" w:rsidRDefault="00A96EAA" w:rsidP="00A96EAA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截至2018年1月31日，本产品的资金实际全部投资于现金、股票、买入返售金融资产、债券等。</w:t>
      </w:r>
    </w:p>
    <w:p w:rsidR="00A96EAA" w:rsidRPr="002E2785" w:rsidRDefault="00A96EAA" w:rsidP="00A96EAA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A96EAA" w:rsidRDefault="00A96EAA" w:rsidP="00A96EAA">
      <w:pPr>
        <w:jc w:val="center"/>
        <w:rPr>
          <w:rFonts w:ascii="彩虹粗仿宋" w:eastAsia="彩虹粗仿宋"/>
        </w:rPr>
      </w:pPr>
    </w:p>
    <w:p w:rsidR="00A96EAA" w:rsidRPr="00DE2106" w:rsidRDefault="00A96EAA" w:rsidP="00A96EAA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38BFC6E7" wp14:editId="303E6023">
            <wp:extent cx="4187825" cy="2359025"/>
            <wp:effectExtent l="0" t="0" r="3175" b="317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96EAA" w:rsidRPr="00DE2106" w:rsidRDefault="00A96EAA" w:rsidP="00A96EAA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A96EAA" w:rsidRPr="00467715" w:rsidRDefault="00A96EAA" w:rsidP="00A96EAA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</w:t>
      </w:r>
      <w:r>
        <w:rPr>
          <w:rFonts w:ascii="彩虹粗仿宋" w:eastAsia="彩虹粗仿宋" w:hAnsi="宋体"/>
          <w:color w:val="000000"/>
          <w:sz w:val="28"/>
          <w:szCs w:val="28"/>
        </w:rPr>
        <w:t>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余额：85万元。</w:t>
      </w:r>
    </w:p>
    <w:p w:rsidR="00A96EAA" w:rsidRPr="00DE2106" w:rsidRDefault="00A96EAA" w:rsidP="00A96EAA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A96EAA" w:rsidRPr="00DE2106" w:rsidRDefault="00A96EAA" w:rsidP="00A96EA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96EAA" w:rsidRPr="00DE2106" w:rsidRDefault="00A96EAA" w:rsidP="00A96EA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96EAA" w:rsidRPr="00DE2106" w:rsidRDefault="00A96EAA" w:rsidP="00A96EAA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96EAA" w:rsidRPr="00DE2106" w:rsidRDefault="00A96EAA" w:rsidP="00A96EAA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A96EAA" w:rsidRPr="00DE2106" w:rsidRDefault="00A96EAA" w:rsidP="00A96EA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2018年2月6日</w:t>
      </w:r>
    </w:p>
    <w:p w:rsidR="00A96EAA" w:rsidRPr="00DE2106" w:rsidRDefault="00A96EAA" w:rsidP="00A96EAA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A96EAA" w:rsidRPr="00DE2106" w:rsidRDefault="00A96EAA" w:rsidP="00A96EAA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A96EAA" w:rsidRPr="005D1C84" w:rsidRDefault="00A96EAA" w:rsidP="00A96EAA">
      <w:pPr>
        <w:ind w:left="420" w:hangingChars="200" w:hanging="420"/>
        <w:rPr>
          <w:rFonts w:ascii="Times New Roman" w:hAnsi="Times New Roman"/>
          <w:szCs w:val="24"/>
        </w:rPr>
      </w:pPr>
    </w:p>
    <w:p w:rsidR="00615B9D" w:rsidRDefault="00A96EAA"/>
    <w:sectPr w:rsidR="00615B9D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AA"/>
    <w:rsid w:val="005226E7"/>
    <w:rsid w:val="00A96EAA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E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EA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6E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6E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uxiaocheng.CCBCAPITAL\Desktop\&#26631;&#20934;&#21270;&#25237;&#30740;\1-&#20135;&#21697;&#25237;&#21518;\2018&#24180;1&#26376;\18-01-31\&#24314;&#20449;&#36164;&#26412;&#23433;&#37995;1&#12289;2&#21495;&#65293;&#25237;&#21518;&#31649;&#29702;&#21488;&#36134;&#12304;2018-01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3EE-4F80-AF7F-E8E42DB2C464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3EE-4F80-AF7F-E8E42DB2C464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3EE-4F80-AF7F-E8E42DB2C464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3EE-4F80-AF7F-E8E42DB2C464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EE-4F80-AF7F-E8E42DB2C464}"/>
                </c:ext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EE-4F80-AF7F-E8E42DB2C4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安鑫2号!$L$7:$L$10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债券投资</c:v>
                </c:pt>
                <c:pt idx="3">
                  <c:v>股票投资</c:v>
                </c:pt>
              </c:strCache>
            </c:strRef>
          </c:cat>
          <c:val>
            <c:numRef>
              <c:f>安鑫2号!$K$7:$K$10</c:f>
              <c:numCache>
                <c:formatCode>0.00%</c:formatCode>
                <c:ptCount val="4"/>
                <c:pt idx="0">
                  <c:v>0.94791551461883339</c:v>
                </c:pt>
                <c:pt idx="1">
                  <c:v>3.0320070681355272E-2</c:v>
                </c:pt>
                <c:pt idx="2">
                  <c:v>1.1187593028891673E-2</c:v>
                </c:pt>
                <c:pt idx="3">
                  <c:v>9.6680083844337596E-3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EE-4F80-AF7F-E8E42DB2C46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2018-02-06T09:03:00Z</dcterms:created>
  <dcterms:modified xsi:type="dcterms:W3CDTF">2018-02-06T09:06:00Z</dcterms:modified>
</cp:coreProperties>
</file>