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00" w:rsidRPr="00DE2106" w:rsidRDefault="00B40D00" w:rsidP="00B40D00">
      <w:pPr>
        <w:ind w:left="360"/>
        <w:jc w:val="center"/>
        <w:rPr>
          <w:rFonts w:ascii="彩虹粗仿宋" w:eastAsia="彩虹粗仿宋"/>
          <w:b/>
          <w:color w:val="000000"/>
          <w:sz w:val="32"/>
          <w:szCs w:val="32"/>
        </w:rPr>
      </w:pPr>
      <w:bookmarkStart w:id="0" w:name="_GoBack"/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中国建设银行“乾元—</w:t>
      </w:r>
      <w:proofErr w:type="gramStart"/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鑫</w:t>
      </w:r>
      <w:proofErr w:type="gramEnd"/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满溢足</w:t>
      </w:r>
      <w:r>
        <w:rPr>
          <w:rFonts w:ascii="彩虹粗仿宋" w:eastAsia="彩虹粗仿宋" w:hint="eastAsia"/>
          <w:b/>
          <w:color w:val="000000"/>
          <w:sz w:val="32"/>
          <w:szCs w:val="32"/>
        </w:rPr>
        <w:t>2号</w:t>
      </w:r>
      <w:r w:rsidRPr="0000530E">
        <w:rPr>
          <w:rFonts w:ascii="彩虹粗仿宋" w:eastAsia="彩虹粗仿宋" w:hint="eastAsia"/>
          <w:b/>
          <w:color w:val="000000"/>
          <w:sz w:val="32"/>
          <w:szCs w:val="32"/>
        </w:rPr>
        <w:t>”开放式净值型理财管理计划</w:t>
      </w:r>
      <w:r w:rsidRPr="00DE2106">
        <w:rPr>
          <w:rFonts w:ascii="彩虹粗仿宋" w:eastAsia="彩虹粗仿宋" w:hint="eastAsia"/>
          <w:b/>
          <w:color w:val="000000"/>
          <w:sz w:val="32"/>
          <w:szCs w:val="32"/>
        </w:rPr>
        <w:t>月度投资管理报告</w:t>
      </w:r>
    </w:p>
    <w:bookmarkEnd w:id="0"/>
    <w:p w:rsidR="00B40D00" w:rsidRPr="00DE2106" w:rsidRDefault="00B40D00" w:rsidP="00B40D00">
      <w:pPr>
        <w:spacing w:line="480" w:lineRule="exact"/>
        <w:ind w:firstLineChars="200" w:firstLine="420"/>
        <w:jc w:val="center"/>
        <w:rPr>
          <w:rFonts w:ascii="彩虹粗仿宋" w:eastAsia="彩虹粗仿宋" w:hAnsi="宋体"/>
          <w:color w:val="000000"/>
          <w:szCs w:val="21"/>
        </w:rPr>
      </w:pPr>
      <w:r w:rsidRPr="00DE2106">
        <w:rPr>
          <w:rFonts w:ascii="彩虹粗仿宋" w:eastAsia="彩虹粗仿宋" w:hAnsi="宋体" w:hint="eastAsia"/>
          <w:color w:val="000000"/>
          <w:szCs w:val="21"/>
        </w:rPr>
        <w:t>报告日：</w:t>
      </w:r>
      <w:r>
        <w:rPr>
          <w:rFonts w:ascii="彩虹粗仿宋" w:eastAsia="彩虹粗仿宋" w:hAnsi="宋体" w:hint="eastAsia"/>
          <w:color w:val="000000"/>
          <w:szCs w:val="21"/>
        </w:rPr>
        <w:t>2018年1月31日</w:t>
      </w:r>
    </w:p>
    <w:p w:rsidR="00B40D00" w:rsidRDefault="00B40D00" w:rsidP="00B40D00">
      <w:pPr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“乾元-</w:t>
      </w:r>
      <w:proofErr w:type="gramStart"/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鑫</w:t>
      </w:r>
      <w:proofErr w:type="gramEnd"/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满溢足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2号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”净值型人民币理财产品于201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6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年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8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月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22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日正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式成立，首次开放日为【2016】年【10】月【17】日。截至2018年1月31日，目前</w:t>
      </w: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本产品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总资产0.</w:t>
      </w:r>
      <w:r>
        <w:rPr>
          <w:rFonts w:ascii="彩虹粗仿宋" w:eastAsia="彩虹粗仿宋" w:hAnsi="宋体"/>
          <w:color w:val="000000"/>
          <w:sz w:val="28"/>
          <w:szCs w:val="28"/>
        </w:rPr>
        <w:t>50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亿元，资产净值</w:t>
      </w:r>
      <w:r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0.</w:t>
      </w:r>
      <w:r>
        <w:rPr>
          <w:rFonts w:ascii="彩虹粗仿宋" w:eastAsia="彩虹粗仿宋" w:hAnsi="宋体" w:cs="宋体"/>
          <w:bCs/>
          <w:color w:val="000000"/>
          <w:kern w:val="0"/>
          <w:sz w:val="28"/>
          <w:szCs w:val="28"/>
        </w:rPr>
        <w:t>50</w:t>
      </w:r>
      <w:r>
        <w:rPr>
          <w:rFonts w:ascii="彩虹粗仿宋" w:eastAsia="彩虹粗仿宋" w:hAnsi="宋体" w:cs="宋体" w:hint="eastAsia"/>
          <w:bCs/>
          <w:color w:val="000000"/>
          <w:kern w:val="0"/>
          <w:sz w:val="28"/>
          <w:szCs w:val="28"/>
        </w:rPr>
        <w:t>亿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元。</w:t>
      </w:r>
    </w:p>
    <w:p w:rsidR="00B40D00" w:rsidRPr="00DE2106" w:rsidRDefault="00B40D00" w:rsidP="00B40D00">
      <w:pPr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一、报告期投资者实际收益率</w:t>
      </w:r>
    </w:p>
    <w:p w:rsidR="00B40D00" w:rsidRPr="00DE2106" w:rsidRDefault="00B40D00" w:rsidP="00B40D0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截至2018年1月31日，产品单位</w:t>
      </w:r>
      <w:r w:rsidRPr="00896961">
        <w:rPr>
          <w:rFonts w:ascii="彩虹粗仿宋" w:eastAsia="彩虹粗仿宋" w:hAnsi="宋体" w:hint="eastAsia"/>
          <w:color w:val="000000"/>
          <w:sz w:val="28"/>
          <w:szCs w:val="28"/>
        </w:rPr>
        <w:t>净值为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1.0</w:t>
      </w:r>
      <w:r>
        <w:rPr>
          <w:rFonts w:ascii="彩虹粗仿宋" w:eastAsia="彩虹粗仿宋" w:hAnsi="宋体"/>
          <w:color w:val="000000"/>
          <w:sz w:val="28"/>
          <w:szCs w:val="28"/>
        </w:rPr>
        <w:t>204</w:t>
      </w:r>
      <w:r w:rsidRPr="00896961">
        <w:rPr>
          <w:rFonts w:ascii="彩虹粗仿宋" w:eastAsia="彩虹粗仿宋" w:hAnsi="宋体" w:hint="eastAsia"/>
          <w:color w:val="000000"/>
          <w:sz w:val="28"/>
          <w:szCs w:val="28"/>
        </w:rPr>
        <w:t>。</w:t>
      </w:r>
    </w:p>
    <w:p w:rsidR="00B40D00" w:rsidRPr="00DE2106" w:rsidRDefault="00B40D00" w:rsidP="00B40D0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B40D00" w:rsidRDefault="00B40D00" w:rsidP="00B40D00">
      <w:pPr>
        <w:spacing w:line="480" w:lineRule="exact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二、产品投资组合详细情况</w:t>
      </w:r>
    </w:p>
    <w:p w:rsidR="00B40D00" w:rsidRPr="00DE2106" w:rsidRDefault="00B40D00" w:rsidP="00B40D00">
      <w:pPr>
        <w:spacing w:line="480" w:lineRule="exact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>（一）投资组合的基本情况</w:t>
      </w:r>
    </w:p>
    <w:p w:rsidR="00B40D00" w:rsidRPr="0000530E" w:rsidRDefault="00B40D00" w:rsidP="00B40D00">
      <w:pPr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截至2018年1月31日，本产品的资金实际全部投资于现金、债券、</w:t>
      </w:r>
      <w:r>
        <w:rPr>
          <w:rFonts w:ascii="彩虹粗仿宋" w:eastAsia="彩虹粗仿宋" w:hAnsi="宋体"/>
          <w:color w:val="000000"/>
          <w:sz w:val="28"/>
          <w:szCs w:val="28"/>
        </w:rPr>
        <w:t>买入返售金融资产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等。</w:t>
      </w:r>
    </w:p>
    <w:p w:rsidR="00B40D00" w:rsidRPr="002E2785" w:rsidRDefault="00B40D00" w:rsidP="00B40D00">
      <w:pPr>
        <w:spacing w:line="480" w:lineRule="exact"/>
        <w:ind w:firstLineChars="200" w:firstLine="562"/>
        <w:rPr>
          <w:rFonts w:ascii="彩虹粗仿宋" w:eastAsia="彩虹粗仿宋" w:hAnsi="宋体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（二）投资组合分布基本情况</w:t>
      </w:r>
    </w:p>
    <w:p w:rsidR="00B40D00" w:rsidRPr="00DE2106" w:rsidRDefault="00B40D00" w:rsidP="00B40D00">
      <w:pPr>
        <w:jc w:val="center"/>
        <w:rPr>
          <w:rFonts w:ascii="彩虹粗仿宋" w:eastAsia="彩虹粗仿宋"/>
        </w:rPr>
      </w:pPr>
      <w:r>
        <w:rPr>
          <w:noProof/>
        </w:rPr>
        <w:drawing>
          <wp:inline distT="0" distB="0" distL="0" distR="0" wp14:anchorId="7E7B1057" wp14:editId="522ED610">
            <wp:extent cx="3959860" cy="2568575"/>
            <wp:effectExtent l="0" t="0" r="2540" b="3175"/>
            <wp:docPr id="1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40D00" w:rsidRPr="00DE2106" w:rsidRDefault="00B40D00" w:rsidP="00B40D00">
      <w:pPr>
        <w:ind w:firstLineChars="100" w:firstLine="281"/>
        <w:rPr>
          <w:rFonts w:ascii="彩虹粗仿宋" w:eastAsia="彩虹粗仿宋" w:hAnsi="宋体"/>
          <w:b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b/>
          <w:color w:val="000000"/>
          <w:sz w:val="28"/>
          <w:szCs w:val="28"/>
        </w:rPr>
        <w:t>（三）债券类资产投资情况</w:t>
      </w:r>
    </w:p>
    <w:p w:rsidR="00B40D00" w:rsidRPr="00DE2106" w:rsidRDefault="00B40D00" w:rsidP="00B40D00">
      <w:pPr>
        <w:ind w:firstLineChars="152" w:firstLine="426"/>
        <w:jc w:val="lef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lastRenderedPageBreak/>
        <w:t>信用债投资余额：0.3</w:t>
      </w:r>
      <w:r>
        <w:rPr>
          <w:rFonts w:ascii="彩虹粗仿宋" w:eastAsia="彩虹粗仿宋" w:hAnsi="宋体"/>
          <w:color w:val="000000"/>
          <w:sz w:val="28"/>
          <w:szCs w:val="28"/>
        </w:rPr>
        <w:t>0</w:t>
      </w:r>
      <w:r>
        <w:rPr>
          <w:rFonts w:ascii="彩虹粗仿宋" w:eastAsia="彩虹粗仿宋" w:hAnsi="宋体" w:hint="eastAsia"/>
          <w:color w:val="000000"/>
          <w:sz w:val="28"/>
          <w:szCs w:val="28"/>
        </w:rPr>
        <w:t>亿元。</w:t>
      </w:r>
    </w:p>
    <w:p w:rsidR="00B40D00" w:rsidRPr="00DE2106" w:rsidRDefault="00B40D00" w:rsidP="00B40D00">
      <w:pPr>
        <w:spacing w:line="480" w:lineRule="exac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b/>
          <w:color w:val="000000"/>
          <w:sz w:val="28"/>
          <w:szCs w:val="28"/>
        </w:rPr>
        <w:t xml:space="preserve">    三、产品整体运作情况</w:t>
      </w:r>
    </w:p>
    <w:p w:rsidR="00B40D00" w:rsidRPr="00DE2106" w:rsidRDefault="00B40D00" w:rsidP="00B40D0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 w:rsidR="00B40D00" w:rsidRPr="00DE2106" w:rsidRDefault="00B40D00" w:rsidP="00B40D0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（2）截至本报告日，所有投资资产正常运营，未发现有异常情况或者不利情况。</w:t>
      </w:r>
    </w:p>
    <w:p w:rsidR="00B40D00" w:rsidRPr="00DE2106" w:rsidRDefault="00B40D00" w:rsidP="00B40D00">
      <w:pPr>
        <w:spacing w:line="480" w:lineRule="exact"/>
        <w:ind w:firstLineChars="200" w:firstLine="560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（3）本产品自成立至本报告日，没有发生涉诉及诉讼等损害投资者利益的情形。</w:t>
      </w:r>
    </w:p>
    <w:p w:rsidR="00B40D00" w:rsidRPr="00DE2106" w:rsidRDefault="00B40D00" w:rsidP="00B40D00">
      <w:pPr>
        <w:spacing w:line="480" w:lineRule="exact"/>
        <w:ind w:right="362" w:firstLineChars="2050" w:firstLine="574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 w:rsidRPr="00DE2106">
        <w:rPr>
          <w:rFonts w:ascii="彩虹粗仿宋" w:eastAsia="彩虹粗仿宋" w:hAnsi="宋体" w:hint="eastAsia"/>
          <w:color w:val="000000"/>
          <w:sz w:val="28"/>
          <w:szCs w:val="28"/>
        </w:rPr>
        <w:t>中国建设银行</w:t>
      </w:r>
    </w:p>
    <w:p w:rsidR="00B40D00" w:rsidRPr="00DE2106" w:rsidRDefault="00B40D00" w:rsidP="00B40D00">
      <w:pPr>
        <w:spacing w:line="480" w:lineRule="exact"/>
        <w:ind w:right="222" w:firstLineChars="200" w:firstLine="560"/>
        <w:jc w:val="right"/>
        <w:rPr>
          <w:rFonts w:ascii="彩虹粗仿宋" w:eastAsia="彩虹粗仿宋" w:hAnsi="宋体"/>
          <w:color w:val="000000"/>
          <w:sz w:val="28"/>
          <w:szCs w:val="28"/>
        </w:rPr>
      </w:pPr>
      <w:r>
        <w:rPr>
          <w:rFonts w:ascii="彩虹粗仿宋" w:eastAsia="彩虹粗仿宋" w:hAnsi="宋体" w:hint="eastAsia"/>
          <w:color w:val="000000"/>
          <w:sz w:val="28"/>
          <w:szCs w:val="28"/>
        </w:rPr>
        <w:t>2018年2月6日</w:t>
      </w:r>
    </w:p>
    <w:p w:rsidR="00B40D00" w:rsidRDefault="00B40D00" w:rsidP="00B40D00">
      <w:pPr>
        <w:widowControl/>
        <w:jc w:val="left"/>
        <w:rPr>
          <w:rFonts w:ascii="彩虹粗仿宋" w:eastAsia="彩虹粗仿宋"/>
          <w:b/>
          <w:color w:val="000000"/>
          <w:sz w:val="32"/>
          <w:szCs w:val="32"/>
        </w:rPr>
      </w:pPr>
      <w:r>
        <w:rPr>
          <w:rFonts w:ascii="彩虹粗仿宋" w:eastAsia="彩虹粗仿宋"/>
          <w:b/>
          <w:color w:val="000000"/>
          <w:sz w:val="32"/>
          <w:szCs w:val="32"/>
        </w:rPr>
        <w:br w:type="page"/>
      </w:r>
    </w:p>
    <w:p w:rsidR="00615B9D" w:rsidRDefault="00B40D00"/>
    <w:sectPr w:rsidR="00615B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D00"/>
    <w:rsid w:val="005226E7"/>
    <w:rsid w:val="00B40D00"/>
    <w:rsid w:val="00F6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0D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0D00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D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0D0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0D0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huxiaocheng.CCBCAPITAL\Desktop\&#26631;&#20934;&#21270;&#25237;&#30740;\1-&#20135;&#21697;&#25237;&#21518;\2018&#24180;1&#26376;\18-01-31\&#24314;&#20449;&#36164;&#26412;&#23433;&#37995;1&#12289;2&#21495;&#65293;&#25237;&#21518;&#31649;&#29702;&#21488;&#36134;&#12304;2018-01-31&#12305;.xlsx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楷体_GB2312" panose="02010609030101010101" pitchFamily="49" charset="-122"/>
                <a:ea typeface="楷体_GB2312" panose="02010609030101010101" pitchFamily="49" charset="-122"/>
                <a:cs typeface="+mn-cs"/>
              </a:defRPr>
            </a:pPr>
            <a:r>
              <a:rPr lang="zh-CN" altLang="en-US"/>
              <a:t>资产分布情况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v>安鑫1号资产分布</c:v>
          </c:tx>
          <c:dPt>
            <c:idx val="0"/>
            <c:bubble3D val="0"/>
            <c:spPr>
              <a:solidFill>
                <a:schemeClr val="accent1">
                  <a:shade val="53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69E-4801-965D-EC7DE6C4423A}"/>
              </c:ext>
            </c:extLst>
          </c:dPt>
          <c:dPt>
            <c:idx val="1"/>
            <c:bubble3D val="0"/>
            <c:spPr>
              <a:solidFill>
                <a:schemeClr val="accent1">
                  <a:shade val="7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69E-4801-965D-EC7DE6C4423A}"/>
              </c:ext>
            </c:extLst>
          </c:dPt>
          <c:dPt>
            <c:idx val="2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569E-4801-965D-EC7DE6C4423A}"/>
              </c:ext>
            </c:extLst>
          </c:dPt>
          <c:dPt>
            <c:idx val="3"/>
            <c:bubble3D val="0"/>
            <c:spPr>
              <a:solidFill>
                <a:schemeClr val="accent1">
                  <a:tint val="77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569E-4801-965D-EC7DE6C4423A}"/>
              </c:ext>
            </c:extLst>
          </c:dPt>
          <c:dPt>
            <c:idx val="4"/>
            <c:bubble3D val="0"/>
            <c:spPr>
              <a:solidFill>
                <a:schemeClr val="accent1">
                  <a:tint val="54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569E-4801-965D-EC7DE6C4423A}"/>
              </c:ext>
            </c:extLst>
          </c:dPt>
          <c:dLbls>
            <c:dLbl>
              <c:idx val="0"/>
              <c:layout>
                <c:manualLayout>
                  <c:x val="3.1649670840325286E-2"/>
                  <c:y val="1.9767005596508954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569E-4801-965D-EC7DE6C4423A}"/>
                </c:ext>
              </c:extLst>
            </c:dLbl>
            <c:dLbl>
              <c:idx val="1"/>
              <c:layout>
                <c:manualLayout>
                  <c:x val="9.1011592300962382E-3"/>
                  <c:y val="-2.8325313502478858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569E-4801-965D-EC7DE6C4423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zh-CN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安鑫1号!$L$7:$L$11</c:f>
              <c:strCache>
                <c:ptCount val="5"/>
                <c:pt idx="0">
                  <c:v>债券投资</c:v>
                </c:pt>
                <c:pt idx="1">
                  <c:v>买入返售金融资产</c:v>
                </c:pt>
                <c:pt idx="2">
                  <c:v>现金类资产</c:v>
                </c:pt>
                <c:pt idx="3">
                  <c:v>应收利息</c:v>
                </c:pt>
                <c:pt idx="4">
                  <c:v>其它应收款</c:v>
                </c:pt>
              </c:strCache>
            </c:strRef>
          </c:cat>
          <c:val>
            <c:numRef>
              <c:f>安鑫1号!$K$7:$K$11</c:f>
              <c:numCache>
                <c:formatCode>0.00%</c:formatCode>
                <c:ptCount val="5"/>
                <c:pt idx="0">
                  <c:v>0.61011936409910317</c:v>
                </c:pt>
                <c:pt idx="1">
                  <c:v>0.325245769277268</c:v>
                </c:pt>
                <c:pt idx="2">
                  <c:v>4.7454578694091587E-2</c:v>
                </c:pt>
                <c:pt idx="3">
                  <c:v>1.3942915510340338E-2</c:v>
                </c:pt>
                <c:pt idx="4">
                  <c:v>3.2373724191967607E-3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A-569E-4801-965D-EC7DE6C4423A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9054644808743182"/>
          <c:y val="0.36770655208967518"/>
          <c:w val="0.29306010928961751"/>
          <c:h val="0.3902945563677531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楷体_GB2312" panose="02010609030101010101" pitchFamily="49" charset="-122"/>
              <a:ea typeface="楷体_GB2312" panose="02010609030101010101" pitchFamily="49" charset="-122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zh-CN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等线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等线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2018-02-06T09:03:00Z</dcterms:created>
  <dcterms:modified xsi:type="dcterms:W3CDTF">2018-02-06T09:06:00Z</dcterms:modified>
</cp:coreProperties>
</file>