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F4" w:rsidRDefault="00F81BF4" w:rsidP="00F81BF4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“乾元—量化精选”开放式净值型理财产品</w:t>
      </w:r>
    </w:p>
    <w:p w:rsidR="00F81BF4" w:rsidRDefault="00F81BF4" w:rsidP="00F81BF4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季度投资管理报告</w:t>
      </w:r>
    </w:p>
    <w:p w:rsidR="00F81BF4" w:rsidRDefault="00F81BF4" w:rsidP="00F81BF4">
      <w:pPr>
        <w:spacing w:line="480" w:lineRule="exact"/>
        <w:ind w:firstLineChars="1350" w:firstLine="283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报告日：2017年3月31日</w:t>
      </w:r>
    </w:p>
    <w:p w:rsidR="00F81BF4" w:rsidRDefault="00F81BF4" w:rsidP="00F81BF4">
      <w:pPr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“乾元—量化精选”开放式净值型理财产品于2016年6月14日正式成立，投资运作正常。截至报告日，目前本产品总资产规模为277,980,000.00份。</w:t>
      </w:r>
    </w:p>
    <w:p w:rsidR="00F81BF4" w:rsidRDefault="00F81BF4" w:rsidP="00F81BF4">
      <w:pPr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F81BF4" w:rsidRDefault="00F81BF4" w:rsidP="00F81BF4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截至2017年3月31日，产品单位净值为1.013164。</w:t>
      </w:r>
    </w:p>
    <w:p w:rsidR="00F81BF4" w:rsidRDefault="00F81BF4" w:rsidP="00F81BF4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F81BF4" w:rsidRDefault="00F81BF4" w:rsidP="00F81BF4">
      <w:pPr>
        <w:ind w:firstLineChars="196" w:firstLine="551"/>
        <w:jc w:val="lef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F81BF4" w:rsidRDefault="00F81BF4" w:rsidP="00F81BF4">
      <w:pPr>
        <w:ind w:firstLineChars="147" w:firstLine="412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（一）投资组合的基本情况</w:t>
      </w:r>
    </w:p>
    <w:p w:rsidR="00F81BF4" w:rsidRDefault="00F81BF4" w:rsidP="00F81BF4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截至2017年3月31日，本产品的资金实际全部投资于现金、资管计划和非标准化债权资产。</w:t>
      </w:r>
    </w:p>
    <w:p w:rsidR="00F81BF4" w:rsidRDefault="00F81BF4" w:rsidP="00F81BF4">
      <w:pPr>
        <w:ind w:firstLineChars="147" w:firstLine="412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（二）投资组合的基本结构</w:t>
      </w:r>
    </w:p>
    <w:p w:rsidR="00F81BF4" w:rsidRDefault="00F81BF4" w:rsidP="00F81BF4">
      <w:pPr>
        <w:ind w:firstLineChars="297" w:firstLine="624"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091697" cy="2178709"/>
            <wp:effectExtent l="6091" t="6084" r="7487" b="5957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1BF4" w:rsidRDefault="00F81BF4" w:rsidP="00F81BF4">
      <w:pPr>
        <w:ind w:firstLineChars="197" w:firstLine="55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（三）资管计划的持仓情况</w:t>
      </w:r>
    </w:p>
    <w:p w:rsidR="00F81BF4" w:rsidRDefault="00F81BF4" w:rsidP="00F81BF4">
      <w:pPr>
        <w:ind w:firstLineChars="297" w:firstLine="624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00712" cy="2674250"/>
            <wp:effectExtent l="6103" t="6090" r="8010" b="5710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1BF4" w:rsidRDefault="00F81BF4" w:rsidP="00F81BF4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F81BF4" w:rsidRDefault="00F81BF4" w:rsidP="00F81BF4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81BF4" w:rsidRDefault="00F81BF4" w:rsidP="00F81BF4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81BF4" w:rsidRDefault="00F81BF4" w:rsidP="00F81BF4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    </w:t>
      </w:r>
    </w:p>
    <w:p w:rsidR="00F81BF4" w:rsidRDefault="00F81BF4" w:rsidP="00F81BF4">
      <w:pPr>
        <w:spacing w:line="480" w:lineRule="exact"/>
        <w:ind w:firstLineChars="2250" w:firstLine="630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F81BF4" w:rsidRDefault="00F81BF4" w:rsidP="00F81BF4">
      <w:pPr>
        <w:spacing w:line="480" w:lineRule="exact"/>
        <w:ind w:right="-58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2017年4月10日</w:t>
      </w:r>
    </w:p>
    <w:p w:rsidR="00F81BF4" w:rsidRDefault="00F81BF4" w:rsidP="00F81BF4">
      <w:pPr>
        <w:rPr>
          <w:rFonts w:hint="eastAsia"/>
        </w:rPr>
      </w:pPr>
    </w:p>
    <w:p w:rsidR="00EC359D" w:rsidRPr="000905C5" w:rsidRDefault="00EC359D" w:rsidP="000905C5">
      <w:pPr>
        <w:rPr>
          <w:szCs w:val="21"/>
        </w:rPr>
      </w:pPr>
    </w:p>
    <w:sectPr w:rsidR="00EC359D" w:rsidRPr="000905C5" w:rsidSect="00CE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1A" w:rsidRDefault="000E1C1A" w:rsidP="00EC359D">
      <w:r>
        <w:separator/>
      </w:r>
    </w:p>
  </w:endnote>
  <w:endnote w:type="continuationSeparator" w:id="1">
    <w:p w:rsidR="000E1C1A" w:rsidRDefault="000E1C1A" w:rsidP="00EC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1A" w:rsidRDefault="000E1C1A" w:rsidP="00EC359D">
      <w:r>
        <w:separator/>
      </w:r>
    </w:p>
  </w:footnote>
  <w:footnote w:type="continuationSeparator" w:id="1">
    <w:p w:rsidR="000E1C1A" w:rsidRDefault="000E1C1A" w:rsidP="00EC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59D"/>
    <w:rsid w:val="000905C5"/>
    <w:rsid w:val="000E1C1A"/>
    <w:rsid w:val="003D0467"/>
    <w:rsid w:val="004136BB"/>
    <w:rsid w:val="004C3966"/>
    <w:rsid w:val="00533928"/>
    <w:rsid w:val="005D0867"/>
    <w:rsid w:val="0063062D"/>
    <w:rsid w:val="00687359"/>
    <w:rsid w:val="00751692"/>
    <w:rsid w:val="00875A4D"/>
    <w:rsid w:val="00882F43"/>
    <w:rsid w:val="008C5486"/>
    <w:rsid w:val="009050C1"/>
    <w:rsid w:val="00935BF5"/>
    <w:rsid w:val="0098425B"/>
    <w:rsid w:val="00B51992"/>
    <w:rsid w:val="00B51E68"/>
    <w:rsid w:val="00C110F0"/>
    <w:rsid w:val="00CD4E50"/>
    <w:rsid w:val="00CD6833"/>
    <w:rsid w:val="00CE523A"/>
    <w:rsid w:val="00D56E3B"/>
    <w:rsid w:val="00D808A3"/>
    <w:rsid w:val="00DF7B48"/>
    <w:rsid w:val="00EC3081"/>
    <w:rsid w:val="00EC359D"/>
    <w:rsid w:val="00F11A0F"/>
    <w:rsid w:val="00F81BF4"/>
    <w:rsid w:val="00FA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59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046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0467"/>
  </w:style>
  <w:style w:type="paragraph" w:styleId="a6">
    <w:name w:val="Balloon Text"/>
    <w:basedOn w:val="a"/>
    <w:link w:val="Char2"/>
    <w:uiPriority w:val="99"/>
    <w:semiHidden/>
    <w:unhideWhenUsed/>
    <w:rsid w:val="00F81BF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81B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37327;&#21270;&#23395;&#24230;&#25259;&#38706;\2017.3&#26376;\3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zhaojianfeng\AppData\Local\Temp\notesC4A9C8\~9792363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1063212871944521"/>
          <c:y val="0.10285646898318573"/>
          <c:w val="0.54533160446053575"/>
          <c:h val="0.77635071628867625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'16年12月'!$A$57:$A$59</c:f>
              <c:strCache>
                <c:ptCount val="3"/>
                <c:pt idx="0">
                  <c:v>现金类</c:v>
                </c:pt>
                <c:pt idx="1">
                  <c:v>资管计划</c:v>
                </c:pt>
                <c:pt idx="2">
                  <c:v>非标准化债权资产</c:v>
                </c:pt>
              </c:strCache>
            </c:strRef>
          </c:cat>
          <c:val>
            <c:numRef>
              <c:f>'16年12月'!$B$57:$B$59</c:f>
              <c:numCache>
                <c:formatCode>0.00%</c:formatCode>
                <c:ptCount val="3"/>
                <c:pt idx="0">
                  <c:v>2.9597069947270259E-3</c:v>
                </c:pt>
                <c:pt idx="1">
                  <c:v>0.54878081655138133</c:v>
                </c:pt>
                <c:pt idx="2">
                  <c:v>0.44825947645389214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rotX val="30"/>
      <c:hPercent val="70"/>
      <c:depthPercent val="20"/>
      <c:rAngAx val="1"/>
    </c:view3D>
    <c:plotArea>
      <c:layout>
        <c:manualLayout>
          <c:layoutTarget val="inner"/>
          <c:xMode val="edge"/>
          <c:yMode val="edge"/>
          <c:x val="4.3926290463692036E-2"/>
          <c:y val="0.10879629629629635"/>
          <c:w val="0.5835996997049423"/>
          <c:h val="0.86342592592592571"/>
        </c:manualLayout>
      </c:layout>
      <c:pie3DChart>
        <c:varyColors val="1"/>
        <c:ser>
          <c:idx val="0"/>
          <c:order val="0"/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1"/>
            <c:spPr>
              <a:solidFill>
                <a:srgbClr val="990000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2"/>
            <c:spPr>
              <a:solidFill>
                <a:srgbClr val="FFFFCC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3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13038090551181103"/>
                  <c:y val="6.0030256634587366E-2"/>
                </c:manualLayout>
              </c:layout>
              <c:showVal val="1"/>
            </c:dLbl>
            <c:dLbl>
              <c:idx val="1"/>
              <c:layout>
                <c:manualLayout>
                  <c:x val="8.1762895870481161E-2"/>
                  <c:y val="-0.22140055409740456"/>
                </c:manualLayout>
              </c:layout>
              <c:showVal val="1"/>
            </c:dLbl>
            <c:dLbl>
              <c:idx val="2"/>
              <c:layout>
                <c:manualLayout>
                  <c:x val="9.6192384769539077E-2"/>
                  <c:y val="-0.11555810731991835"/>
                </c:manualLayout>
              </c:layout>
              <c:showVal val="1"/>
            </c:dLbl>
            <c:dLbl>
              <c:idx val="3"/>
              <c:layout>
                <c:manualLayout>
                  <c:x val="0.15006244531933519"/>
                  <c:y val="1.2579104695246427E-2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Sheet1!$B$19:$B$22</c:f>
              <c:strCache>
                <c:ptCount val="4"/>
                <c:pt idx="0">
                  <c:v>股票资产</c:v>
                </c:pt>
                <c:pt idx="1">
                  <c:v>期货资产</c:v>
                </c:pt>
                <c:pt idx="2">
                  <c:v>货币基金及逆回购资产</c:v>
                </c:pt>
                <c:pt idx="3">
                  <c:v>现金及其他</c:v>
                </c:pt>
              </c:strCache>
            </c:strRef>
          </c:cat>
          <c:val>
            <c:numRef>
              <c:f>Sheet1!$C$19:$C$22</c:f>
              <c:numCache>
                <c:formatCode>0.00%</c:formatCode>
                <c:ptCount val="4"/>
                <c:pt idx="0">
                  <c:v>0.45084174804246252</c:v>
                </c:pt>
                <c:pt idx="1">
                  <c:v>0.18508560814531191</c:v>
                </c:pt>
                <c:pt idx="2">
                  <c:v>8.9815247942957505E-2</c:v>
                </c:pt>
                <c:pt idx="3">
                  <c:v>0.27425739586926823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250437930291942"/>
          <c:y val="0.25849154272382613"/>
          <c:w val="0.24717913385826779"/>
          <c:h val="0.49690580344123658"/>
        </c:manualLayout>
      </c:layout>
      <c:spPr>
        <a:ln>
          <a:solidFill>
            <a:schemeClr val="bg1">
              <a:lumMod val="75000"/>
            </a:schemeClr>
          </a:solidFill>
        </a:ln>
      </c:sp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6</cp:revision>
  <dcterms:created xsi:type="dcterms:W3CDTF">2017-03-23T06:18:00Z</dcterms:created>
  <dcterms:modified xsi:type="dcterms:W3CDTF">2017-04-10T02:09:00Z</dcterms:modified>
</cp:coreProperties>
</file>